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CF90F" w14:textId="6258FC9A" w:rsidR="00AA3A0F" w:rsidRDefault="00FB1AB3">
      <w:r>
        <w:t>Về công tác xét công nhận TN năm 2025: Các đơn vị lưu ý 1 số nội dung sau:</w:t>
      </w:r>
    </w:p>
    <w:p w14:paraId="5D900A5B" w14:textId="1A312662" w:rsidR="00003BD0" w:rsidRPr="00003BD0" w:rsidRDefault="00003BD0" w:rsidP="00003BD0">
      <w:pPr>
        <w:rPr>
          <w:b/>
          <w:bCs/>
        </w:rPr>
      </w:pPr>
      <w:r w:rsidRPr="00003BD0">
        <w:rPr>
          <w:b/>
          <w:bCs/>
        </w:rPr>
        <w:t> </w:t>
      </w:r>
      <w:r>
        <w:rPr>
          <w:b/>
          <w:bCs/>
        </w:rPr>
        <w:t xml:space="preserve">I. </w:t>
      </w:r>
      <w:r w:rsidRPr="00003BD0">
        <w:rPr>
          <w:b/>
          <w:bCs/>
        </w:rPr>
        <w:t>Điểm mới về Quy chế xét công nhận tốt nghiệp THCS</w:t>
      </w:r>
    </w:p>
    <w:p w14:paraId="74F2AED9" w14:textId="77777777" w:rsidR="00003BD0" w:rsidRPr="00003BD0" w:rsidRDefault="00003BD0" w:rsidP="00003BD0">
      <w:pPr>
        <w:rPr>
          <w:b/>
          <w:bCs/>
        </w:rPr>
      </w:pPr>
      <w:r w:rsidRPr="00003BD0">
        <w:rPr>
          <w:b/>
          <w:bCs/>
        </w:rPr>
        <w:t>1. Học sinh lớp 9 được xét tốt nghiệp 2 lần/năm</w:t>
      </w:r>
    </w:p>
    <w:p w14:paraId="1D2AAC20" w14:textId="77777777" w:rsidR="00003BD0" w:rsidRPr="00003BD0" w:rsidRDefault="00003BD0" w:rsidP="00003BD0">
      <w:r w:rsidRPr="00003BD0">
        <w:t>Theo Điều 3 Quy chế xét công nhận tốt nghiệp THCS ban hành kèm </w:t>
      </w:r>
      <w:hyperlink r:id="rId5" w:history="1">
        <w:r w:rsidRPr="00003BD0">
          <w:rPr>
            <w:rStyle w:val="Hyperlink"/>
          </w:rPr>
          <w:t>Thông tư 31/2023/TT-BGDĐT</w:t>
        </w:r>
      </w:hyperlink>
      <w:r w:rsidRPr="00003BD0">
        <w:t>, số lần xét tốt nghiệp THCS trong một năm được quy định như sau:</w:t>
      </w:r>
    </w:p>
    <w:p w14:paraId="091A13AE" w14:textId="77777777" w:rsidR="00003BD0" w:rsidRPr="00003BD0" w:rsidRDefault="00003BD0" w:rsidP="00003BD0">
      <w:r w:rsidRPr="00003BD0">
        <w:t>- Lần thứ nhất: Thực hiện ngay sau khi kết thúc năm học.</w:t>
      </w:r>
    </w:p>
    <w:p w14:paraId="4871BBB3" w14:textId="77777777" w:rsidR="00003BD0" w:rsidRDefault="00003BD0" w:rsidP="00003BD0">
      <w:r w:rsidRPr="00003BD0">
        <w:t>- Lần thứ hai: Thực hiện trước khi khai giảng năm học mới. Tuy nhiên, lần thứ hai có thể xảy ra hoặc không.</w:t>
      </w:r>
    </w:p>
    <w:p w14:paraId="2B9EB38A" w14:textId="02BBB1E4" w:rsidR="00764AAD" w:rsidRPr="00003BD0" w:rsidRDefault="00764AAD" w:rsidP="00003BD0">
      <w:pPr>
        <w:rPr>
          <w:b/>
          <w:bCs/>
        </w:rPr>
      </w:pPr>
      <w:r w:rsidRPr="005F0FA9">
        <w:rPr>
          <w:b/>
          <w:bCs/>
          <w:highlight w:val="yellow"/>
        </w:rPr>
        <w:t xml:space="preserve">* Theo yêu cầu của Sở: </w:t>
      </w:r>
      <w:r w:rsidRPr="005F0FA9">
        <w:rPr>
          <w:b/>
          <w:bCs/>
          <w:highlight w:val="yellow"/>
        </w:rPr>
        <w:t>Đối với học sinh THCS: 02 (hai) lần/năm; lần 1 hoàn thành trước ngày 20/5/2025; lần 2 hoàn thành trước ngày 20/8/2025</w:t>
      </w:r>
      <w:r w:rsidRPr="005F0FA9">
        <w:rPr>
          <w:b/>
          <w:bCs/>
          <w:highlight w:val="yellow"/>
        </w:rPr>
        <w:t>.</w:t>
      </w:r>
    </w:p>
    <w:p w14:paraId="66215C4E" w14:textId="77777777" w:rsidR="00003BD0" w:rsidRPr="00003BD0" w:rsidRDefault="00003BD0" w:rsidP="00003BD0">
      <w:pPr>
        <w:rPr>
          <w:b/>
          <w:bCs/>
        </w:rPr>
      </w:pPr>
      <w:r w:rsidRPr="00003BD0">
        <w:rPr>
          <w:b/>
          <w:bCs/>
        </w:rPr>
        <w:t>2. Thay đổi điều kiện xét công nhận tốt nghiệp THCS</w:t>
      </w:r>
    </w:p>
    <w:p w14:paraId="28DF0BFB" w14:textId="77777777" w:rsidR="00003BD0" w:rsidRPr="00003BD0" w:rsidRDefault="00003BD0" w:rsidP="00003BD0">
      <w:r w:rsidRPr="00003BD0">
        <w:t>Một trong các điểm mới về quy chế công nhận tốt nghiệp THCS là cho phép học sinh nghỉ quá 45 buổi trong năm học lớp 9 vẫn được dự xét công nhận tốt nghiệp. Thời gian 45 ngày này có thể được tính nghỉ một lần hoặc nghỉ nhiều lần cộng lại.</w:t>
      </w:r>
    </w:p>
    <w:p w14:paraId="0FDB6864" w14:textId="77777777" w:rsidR="00003BD0" w:rsidRPr="00003BD0" w:rsidRDefault="00003BD0" w:rsidP="00003BD0">
      <w:r w:rsidRPr="00003BD0">
        <w:t>Bởi, trước đây, Điều 4 Quy chế ban hành tại Quyết định 11/2006/QĐ-BGD&amp;ĐT có quy định một trong các điều kiện dự xét công nhận tốt nghiệp là không nghỉ học quá 45 buổi học ở năm học lớp 9.</w:t>
      </w:r>
    </w:p>
    <w:p w14:paraId="6F406D63" w14:textId="77777777" w:rsidR="00003BD0" w:rsidRPr="00003BD0" w:rsidRDefault="00003BD0" w:rsidP="00003BD0">
      <w:r w:rsidRPr="00003BD0">
        <w:t>Tuy nhiên, đến Thông tư 31 năm 2023, Bộ Giáo dục đã không còn quy định điều kiện này. Về việc nghỉ học quá 45 buổi trong năm học lớp 9, điểm c khoản 6 Điều 14 Thông tư 31 quy định về trách nhiệm của Sở Giáo dục như sau:</w:t>
      </w:r>
    </w:p>
    <w:p w14:paraId="15B15D7D" w14:textId="77777777" w:rsidR="00003BD0" w:rsidRPr="00003BD0" w:rsidRDefault="00003BD0" w:rsidP="00003BD0">
      <w:pPr>
        <w:rPr>
          <w:i/>
          <w:iCs/>
        </w:rPr>
      </w:pPr>
      <w:r w:rsidRPr="00003BD0">
        <w:rPr>
          <w:b/>
          <w:bCs/>
          <w:i/>
          <w:iCs/>
        </w:rPr>
        <w:t>Điều 14. Trách nhiệm của cơ sở giáo dục</w:t>
      </w:r>
    </w:p>
    <w:p w14:paraId="505C34E3" w14:textId="77777777" w:rsidR="00003BD0" w:rsidRPr="00003BD0" w:rsidRDefault="00003BD0" w:rsidP="00003BD0">
      <w:pPr>
        <w:rPr>
          <w:i/>
          <w:iCs/>
        </w:rPr>
      </w:pPr>
      <w:r w:rsidRPr="00003BD0">
        <w:rPr>
          <w:i/>
          <w:iCs/>
        </w:rPr>
        <w:t>[…]</w:t>
      </w:r>
    </w:p>
    <w:p w14:paraId="7C65D64E" w14:textId="77777777" w:rsidR="00003BD0" w:rsidRPr="00003BD0" w:rsidRDefault="00003BD0" w:rsidP="00003BD0">
      <w:pPr>
        <w:rPr>
          <w:i/>
          <w:iCs/>
        </w:rPr>
      </w:pPr>
      <w:r w:rsidRPr="00003BD0">
        <w:rPr>
          <w:i/>
          <w:iCs/>
        </w:rPr>
        <w:t>6. Tổ chức cho học sinh học lại; rèn luyện trong kì nghỉ hè; kiểm tra, đánh giá lại các môn học, hoạt động giáo dục trong kì nghỉ hè theo quy định của Bộ Giáo dục và Đào tạo và xác nhận hoàn thành Chương trình giáo dục phổ thông cấp trung học cơ sở hoặc Chương trình giáo dục thường xuyên cấp trung học cơ sở (nếu đủ điều kiện) cho học sinh thuộc các đối tượng sau:</w:t>
      </w:r>
    </w:p>
    <w:p w14:paraId="69DB797A" w14:textId="77777777" w:rsidR="00003BD0" w:rsidRPr="00003BD0" w:rsidRDefault="00003BD0" w:rsidP="00003BD0">
      <w:pPr>
        <w:rPr>
          <w:i/>
          <w:iCs/>
        </w:rPr>
      </w:pPr>
      <w:r w:rsidRPr="00003BD0">
        <w:rPr>
          <w:i/>
          <w:iCs/>
        </w:rPr>
        <w:t>[…]</w:t>
      </w:r>
    </w:p>
    <w:p w14:paraId="23D02300" w14:textId="77777777" w:rsidR="00003BD0" w:rsidRPr="00003BD0" w:rsidRDefault="00003BD0" w:rsidP="00003BD0">
      <w:pPr>
        <w:rPr>
          <w:i/>
          <w:iCs/>
        </w:rPr>
      </w:pPr>
      <w:r w:rsidRPr="00003BD0">
        <w:rPr>
          <w:i/>
          <w:iCs/>
        </w:rPr>
        <w:t>c) Học sinh chưa được công nhận hoàn thành Chương trình giáo dục phổ thông cấp trung học cơ sở hoặc Chương trình giáo dục thường xuyên cấp trung học cơ sở do nghỉ học quá 45 buổi trong năm học lớp 9 xin học lại.</w:t>
      </w:r>
    </w:p>
    <w:p w14:paraId="02DB7D23" w14:textId="77777777" w:rsidR="00003BD0" w:rsidRPr="00003BD0" w:rsidRDefault="00003BD0" w:rsidP="00003BD0">
      <w:r w:rsidRPr="00003BD0">
        <w:t>Theo quy định này, nếu học sinh nghỉ quá 45 buổi chưa được công nhận hoàn thành Chương trình giáo dục phổ thông/giáo dục thường xuyên THCS xin học lại thì sẽ được tổ chức học lại, kiểm tra, đánh giá lại các môn và xác nhận hoàn thành Chương trình học và do đã thêm số lần được xét công nhận tốt nghiệp nên những học sinh này vẫn có thể được xét tốt nghiệp lần hai nếu đủ điều kiện và theo thời gian quy định.</w:t>
      </w:r>
    </w:p>
    <w:p w14:paraId="395C5BCA" w14:textId="77777777" w:rsidR="00003BD0" w:rsidRPr="00003BD0" w:rsidRDefault="00003BD0" w:rsidP="00003BD0">
      <w:r w:rsidRPr="00003BD0">
        <w:lastRenderedPageBreak/>
        <w:t>Theo Điều 4 Quy chế mới, điều kiện để công nhận tốt nghiệp THCS là:</w:t>
      </w:r>
    </w:p>
    <w:p w14:paraId="7F6DB979" w14:textId="77777777" w:rsidR="00003BD0" w:rsidRPr="00003BD0" w:rsidRDefault="00003BD0" w:rsidP="00003BD0">
      <w:r w:rsidRPr="00003BD0">
        <w:t>- Không quá 21 tuổi (với chương trình giáo dục phổ thông cấp THCS) hoặc từ 15 tuổi trở lên (với chương trình giáo dục thường xuyên cấp THCS) hoặc theo quy định của Bộ Giáo dục với học sinh ở nước ngoài về, học vượt lớp, học ở độ tuổi cao hơn.</w:t>
      </w:r>
    </w:p>
    <w:p w14:paraId="2F71457A" w14:textId="77777777" w:rsidR="00003BD0" w:rsidRPr="00003BD0" w:rsidRDefault="00003BD0" w:rsidP="00003BD0">
      <w:r w:rsidRPr="00003BD0">
        <w:t>- Đã hoàn thành Chương trình giáo dục phổ thông/giáo dục thường xuyên cấp THCS.</w:t>
      </w:r>
    </w:p>
    <w:p w14:paraId="2783302A" w14:textId="77777777" w:rsidR="00003BD0" w:rsidRPr="00003BD0" w:rsidRDefault="00003BD0" w:rsidP="00003BD0">
      <w:r w:rsidRPr="00003BD0">
        <w:t>- Có đầy đủ hồ sơ.</w:t>
      </w:r>
    </w:p>
    <w:p w14:paraId="6EDB82BD" w14:textId="77777777" w:rsidR="00003BD0" w:rsidRPr="00003BD0" w:rsidRDefault="00003BD0" w:rsidP="00003BD0">
      <w:pPr>
        <w:rPr>
          <w:b/>
          <w:bCs/>
        </w:rPr>
      </w:pPr>
      <w:r w:rsidRPr="00003BD0">
        <w:rPr>
          <w:b/>
          <w:bCs/>
        </w:rPr>
        <w:t>3. Quy định mới về chính sách ưu tiên, khuyến khích</w:t>
      </w:r>
    </w:p>
    <w:p w14:paraId="76337170" w14:textId="77777777" w:rsidR="00003BD0" w:rsidRPr="00003BD0" w:rsidRDefault="00003BD0" w:rsidP="00003BD0">
      <w:r w:rsidRPr="00003BD0">
        <w:t>Quy chế mới chỉ quy định về chính sách ưu tiên cho học sinh là:</w:t>
      </w:r>
    </w:p>
    <w:p w14:paraId="2E93BB5E" w14:textId="77777777" w:rsidR="00003BD0" w:rsidRPr="00003BD0" w:rsidRDefault="00003BD0" w:rsidP="00003BD0">
      <w:pPr>
        <w:rPr>
          <w:i/>
          <w:iCs/>
        </w:rPr>
      </w:pPr>
      <w:r w:rsidRPr="00003BD0">
        <w:rPr>
          <w:i/>
          <w:iCs/>
        </w:rPr>
        <w:t>Học sinh được hưởng các chính sách ưu tiên theo quy định hiện hành.</w:t>
      </w:r>
    </w:p>
    <w:p w14:paraId="7487CB5A" w14:textId="77777777" w:rsidR="00003BD0" w:rsidRPr="00003BD0" w:rsidRDefault="00003BD0" w:rsidP="00003BD0">
      <w:r w:rsidRPr="00003BD0">
        <w:t>Trong khi đó, quy định cũ nêu rõ các đối tượng được hưởng chính sách ưu tiên và chính sách khuyến khích gồm:</w:t>
      </w:r>
    </w:p>
    <w:p w14:paraId="18914378" w14:textId="77777777" w:rsidR="00003BD0" w:rsidRPr="00003BD0" w:rsidRDefault="00003BD0" w:rsidP="00003BD0">
      <w:r w:rsidRPr="00003BD0">
        <w:t>- Chính sách ưu tiên:</w:t>
      </w:r>
    </w:p>
    <w:p w14:paraId="17D60B2B" w14:textId="77777777" w:rsidR="00003BD0" w:rsidRPr="00003BD0" w:rsidRDefault="00003BD0" w:rsidP="00003BD0">
      <w:pPr>
        <w:numPr>
          <w:ilvl w:val="0"/>
          <w:numId w:val="1"/>
        </w:numPr>
      </w:pPr>
      <w:r w:rsidRPr="00003BD0">
        <w:t>Con liệt sĩ, thương binh, bệnh binh và con người hưởng chế độ như thương binh, bệnh binh, con Anh hùng lực lượng vũ trang, Anh hùng lao động, Bà mẹ Việt Nam anh hùng.</w:t>
      </w:r>
    </w:p>
    <w:p w14:paraId="0977296C" w14:textId="77777777" w:rsidR="00003BD0" w:rsidRPr="00003BD0" w:rsidRDefault="00003BD0" w:rsidP="00003BD0">
      <w:pPr>
        <w:numPr>
          <w:ilvl w:val="0"/>
          <w:numId w:val="1"/>
        </w:numPr>
      </w:pPr>
      <w:r w:rsidRPr="00003BD0">
        <w:t>Người dân tộc thiểu số.</w:t>
      </w:r>
    </w:p>
    <w:p w14:paraId="3B7CBB93" w14:textId="77777777" w:rsidR="00003BD0" w:rsidRPr="00003BD0" w:rsidRDefault="00003BD0" w:rsidP="00003BD0">
      <w:pPr>
        <w:numPr>
          <w:ilvl w:val="0"/>
          <w:numId w:val="1"/>
        </w:numPr>
      </w:pPr>
      <w:r w:rsidRPr="00003BD0">
        <w:t>Người đang sống, học tại vùng có điều kiện kinh tế, xã hội khó khăn.</w:t>
      </w:r>
    </w:p>
    <w:p w14:paraId="3B34B7BE" w14:textId="77777777" w:rsidR="00003BD0" w:rsidRPr="00003BD0" w:rsidRDefault="00003BD0" w:rsidP="00003BD0">
      <w:pPr>
        <w:numPr>
          <w:ilvl w:val="0"/>
          <w:numId w:val="1"/>
        </w:numPr>
      </w:pPr>
      <w:r w:rsidRPr="00003BD0">
        <w:t>Bị tàn tật, khuyết tật, kém phát triển về thể lực, trí tuệ, bị nhiễm chất độc hóa học, mồ côi không nơi nương tựa, hộ nghèo.</w:t>
      </w:r>
    </w:p>
    <w:p w14:paraId="7079B67B" w14:textId="77777777" w:rsidR="00003BD0" w:rsidRPr="00003BD0" w:rsidRDefault="00003BD0" w:rsidP="00003BD0">
      <w:r w:rsidRPr="00003BD0">
        <w:t>- Đối tượng hưởng chính sách khuyến khích:</w:t>
      </w:r>
    </w:p>
    <w:p w14:paraId="085A914F" w14:textId="77777777" w:rsidR="00003BD0" w:rsidRPr="00003BD0" w:rsidRDefault="00003BD0" w:rsidP="00003BD0">
      <w:pPr>
        <w:numPr>
          <w:ilvl w:val="0"/>
          <w:numId w:val="2"/>
        </w:numPr>
      </w:pPr>
      <w:r w:rsidRPr="00003BD0">
        <w:t>Đạt giải ba trở lên (cá nhân) trong các kỳ thi học sinh giỏi lớp 9, văn nghệ, thể dục thể thao cấp tỉnh hoặc trong khu vực, thi quốc tế…</w:t>
      </w:r>
    </w:p>
    <w:p w14:paraId="15854AA9" w14:textId="77777777" w:rsidR="00003BD0" w:rsidRPr="00003BD0" w:rsidRDefault="00003BD0" w:rsidP="00003BD0">
      <w:pPr>
        <w:numPr>
          <w:ilvl w:val="0"/>
          <w:numId w:val="2"/>
        </w:numPr>
      </w:pPr>
      <w:r w:rsidRPr="00003BD0">
        <w:t>Người xếp loại từ trung bình trở lên trong kỳ thi nghề.</w:t>
      </w:r>
    </w:p>
    <w:p w14:paraId="203FA3C8" w14:textId="0446BB30" w:rsidR="00003BD0" w:rsidRPr="00003BD0" w:rsidRDefault="00003BD0" w:rsidP="00003BD0">
      <w:pPr>
        <w:rPr>
          <w:b/>
          <w:bCs/>
        </w:rPr>
      </w:pPr>
      <w:r w:rsidRPr="00003BD0">
        <w:rPr>
          <w:b/>
          <w:bCs/>
        </w:rPr>
        <w:t>4. Hồ sơ xét tốt nghiệp THCS</w:t>
      </w:r>
    </w:p>
    <w:p w14:paraId="447AEC33" w14:textId="77777777" w:rsidR="00003BD0" w:rsidRPr="00003BD0" w:rsidRDefault="00003BD0" w:rsidP="00003BD0">
      <w:r w:rsidRPr="00003BD0">
        <w:t>Hồ sơ xét công nhận tốt nghiệp THCS cũng là một trong các điểm mới của Quy chế ban hành kèm Thông tư 31. Cụ thể:</w:t>
      </w:r>
    </w:p>
    <w:p w14:paraId="3AC43160" w14:textId="77777777" w:rsidR="00003BD0" w:rsidRPr="00003BD0" w:rsidRDefault="00003BD0" w:rsidP="00003BD0">
      <w:r w:rsidRPr="00003BD0">
        <w:t>- Với học sinh học hết lớp 9: Học bạ.</w:t>
      </w:r>
    </w:p>
    <w:p w14:paraId="13A70958" w14:textId="77777777" w:rsidR="00003BD0" w:rsidRPr="00003BD0" w:rsidRDefault="00003BD0" w:rsidP="00003BD0">
      <w:r w:rsidRPr="00003BD0">
        <w:t>- Với học sinh không thuộc đối tượng trên:</w:t>
      </w:r>
    </w:p>
    <w:p w14:paraId="0A1E23CD" w14:textId="77777777" w:rsidR="00003BD0" w:rsidRPr="00003BD0" w:rsidRDefault="00003BD0" w:rsidP="00003BD0">
      <w:pPr>
        <w:numPr>
          <w:ilvl w:val="0"/>
          <w:numId w:val="3"/>
        </w:numPr>
      </w:pPr>
      <w:r w:rsidRPr="00003BD0">
        <w:t>Đơn đăng ký dự xét công nhận tốt nghiệp THCS</w:t>
      </w:r>
    </w:p>
    <w:p w14:paraId="4150371B" w14:textId="77777777" w:rsidR="00003BD0" w:rsidRPr="00003BD0" w:rsidRDefault="00003BD0" w:rsidP="00003BD0">
      <w:pPr>
        <w:numPr>
          <w:ilvl w:val="0"/>
          <w:numId w:val="3"/>
        </w:numPr>
      </w:pPr>
      <w:r w:rsidRPr="00003BD0">
        <w:t>Giấy khai sinh/Căn cước công dân/Thẻ Căn cước (bản sao hợp lệ)</w:t>
      </w:r>
    </w:p>
    <w:p w14:paraId="3D5ED329" w14:textId="77777777" w:rsidR="00003BD0" w:rsidRPr="00003BD0" w:rsidRDefault="00003BD0" w:rsidP="00003BD0">
      <w:pPr>
        <w:numPr>
          <w:ilvl w:val="0"/>
          <w:numId w:val="3"/>
        </w:numPr>
      </w:pPr>
      <w:r w:rsidRPr="00003BD0">
        <w:t>Học bạ (bản chính hoặc bản in điện tử có xác nhận) hoặc xác nhận kết quả rèn luyện và kết quả học lớp 9 nếu bị mất học bạ bản chính hoặc không có bản in học bạ điện tử.</w:t>
      </w:r>
    </w:p>
    <w:p w14:paraId="79D7A941" w14:textId="77777777" w:rsidR="00003BD0" w:rsidRPr="00003BD0" w:rsidRDefault="00003BD0" w:rsidP="00003BD0">
      <w:r w:rsidRPr="00003BD0">
        <w:lastRenderedPageBreak/>
        <w:t>Theo quy định cũ, hồ sơ dự xét không chia các đối tượng dự xét và yêu cầu nhiều hồ sơ, giấy tờ hơn gồm:</w:t>
      </w:r>
    </w:p>
    <w:p w14:paraId="618508E4" w14:textId="77777777" w:rsidR="00003BD0" w:rsidRPr="00003BD0" w:rsidRDefault="00003BD0" w:rsidP="00003BD0">
      <w:pPr>
        <w:numPr>
          <w:ilvl w:val="0"/>
          <w:numId w:val="4"/>
        </w:numPr>
      </w:pPr>
      <w:r w:rsidRPr="00003BD0">
        <w:t>Giấy khai sinh (bản sao)</w:t>
      </w:r>
    </w:p>
    <w:p w14:paraId="47B2EA6B" w14:textId="77777777" w:rsidR="00003BD0" w:rsidRPr="00003BD0" w:rsidRDefault="00003BD0" w:rsidP="00003BD0">
      <w:pPr>
        <w:numPr>
          <w:ilvl w:val="0"/>
          <w:numId w:val="4"/>
        </w:numPr>
      </w:pPr>
      <w:r w:rsidRPr="00003BD0">
        <w:t>Học bạ (bản chính hoặc sẽ do Giám đốc Sở Giáo dục xem xét, giải quyết từng trường hợp)</w:t>
      </w:r>
    </w:p>
    <w:p w14:paraId="35D7F1AC" w14:textId="77777777" w:rsidR="00003BD0" w:rsidRPr="00003BD0" w:rsidRDefault="00003BD0" w:rsidP="00003BD0">
      <w:pPr>
        <w:numPr>
          <w:ilvl w:val="0"/>
          <w:numId w:val="4"/>
        </w:numPr>
      </w:pPr>
      <w:r w:rsidRPr="00003BD0">
        <w:t>Giấy xác nhận đối tượng hưởng chính sách ưu tiên, khuyến khích (nếu có - bản chính/bản sao hợp lệ)</w:t>
      </w:r>
    </w:p>
    <w:p w14:paraId="385F356B" w14:textId="77777777" w:rsidR="00003BD0" w:rsidRPr="00003BD0" w:rsidRDefault="00003BD0" w:rsidP="00003BD0">
      <w:pPr>
        <w:numPr>
          <w:ilvl w:val="0"/>
          <w:numId w:val="4"/>
        </w:numPr>
      </w:pPr>
      <w:r w:rsidRPr="00003BD0">
        <w:t>Giấy xác nhận về phẩm chất đạo đức, chấp hành chính sách của Nhà nước từ những năm trước…</w:t>
      </w:r>
    </w:p>
    <w:p w14:paraId="37910CDC" w14:textId="77777777" w:rsidR="00003BD0" w:rsidRPr="00003BD0" w:rsidRDefault="00003BD0" w:rsidP="00003BD0">
      <w:pPr>
        <w:rPr>
          <w:b/>
          <w:bCs/>
        </w:rPr>
      </w:pPr>
      <w:r w:rsidRPr="00003BD0">
        <w:rPr>
          <w:b/>
          <w:bCs/>
        </w:rPr>
        <w:t>5. Không ghi loại tốt nghiệp trên bằng tốt nghiệp THCS</w:t>
      </w:r>
    </w:p>
    <w:p w14:paraId="52A7163C" w14:textId="77777777" w:rsidR="00003BD0" w:rsidRPr="00003BD0" w:rsidRDefault="00003BD0" w:rsidP="00003BD0">
      <w:r w:rsidRPr="00003BD0">
        <w:t>Nếu như trước đây, khi xét công nhận tốt nghiệp THCS thì kết quả tốt nghiệp sẽ được xếp thành 03 loại là giỏi, khá, trung bình căn cứ vào xếp loại hạnh kiểm và xếp loại học lực.</w:t>
      </w:r>
    </w:p>
    <w:p w14:paraId="6F0CCC1E" w14:textId="77777777" w:rsidR="00003BD0" w:rsidRPr="00003BD0" w:rsidRDefault="00003BD0" w:rsidP="00003BD0">
      <w:r w:rsidRPr="00003BD0">
        <w:t>Còn hiện nay, theo Quy chế mới, quy định ghi loại tốt nghiệp này không còn được nêu tại Thông tư 31.</w:t>
      </w:r>
    </w:p>
    <w:p w14:paraId="3DD12875" w14:textId="4CB48160" w:rsidR="00003BD0" w:rsidRDefault="00003BD0" w:rsidP="00003BD0">
      <w:pPr>
        <w:rPr>
          <w:b/>
          <w:bCs/>
        </w:rPr>
      </w:pPr>
      <w:r w:rsidRPr="00003BD0">
        <w:rPr>
          <w:b/>
          <w:bCs/>
        </w:rPr>
        <w:t xml:space="preserve">II. Thời gian xét chính thức: </w:t>
      </w:r>
      <w:r w:rsidRPr="000F22DD">
        <w:rPr>
          <w:b/>
          <w:bCs/>
          <w:highlight w:val="yellow"/>
        </w:rPr>
        <w:t>Sáng Ngày 16/5/2025</w:t>
      </w:r>
    </w:p>
    <w:p w14:paraId="3AF3F2C4" w14:textId="1A2EDB88" w:rsidR="00003BD0" w:rsidRDefault="00003BD0" w:rsidP="00003BD0">
      <w:pPr>
        <w:rPr>
          <w:b/>
          <w:bCs/>
        </w:rPr>
      </w:pPr>
      <w:r>
        <w:rPr>
          <w:b/>
          <w:bCs/>
        </w:rPr>
        <w:t>III. Triển khai các văn bản</w:t>
      </w:r>
    </w:p>
    <w:p w14:paraId="6D4A4840" w14:textId="230620F7" w:rsidR="00003BD0" w:rsidRPr="00003BD0" w:rsidRDefault="00003BD0" w:rsidP="00003BD0">
      <w:pPr>
        <w:rPr>
          <w:b/>
          <w:bCs/>
        </w:rPr>
      </w:pPr>
      <w:r>
        <w:rPr>
          <w:spacing w:val="-4"/>
          <w:lang w:val="nl-NL"/>
        </w:rPr>
        <w:t>Yêu cầu các đơn vị t</w:t>
      </w:r>
      <w:r w:rsidRPr="002F60AC">
        <w:rPr>
          <w:spacing w:val="-4"/>
          <w:lang w:val="nl-NL"/>
        </w:rPr>
        <w:t>riển khai đầy đủ các văn bản của Bộ, Sở về hướng dẫn công tác xét TN THCS</w:t>
      </w:r>
      <w:r>
        <w:rPr>
          <w:spacing w:val="-4"/>
          <w:lang w:val="nl-NL"/>
        </w:rPr>
        <w:t>, đánh giá học sinh tới tất cả thành viên hội đồng xét</w:t>
      </w:r>
      <w:r w:rsidR="002C7303">
        <w:rPr>
          <w:spacing w:val="-4"/>
          <w:lang w:val="nl-NL"/>
        </w:rPr>
        <w:t xml:space="preserve"> để nghiên cứu</w:t>
      </w:r>
      <w:r>
        <w:rPr>
          <w:spacing w:val="-4"/>
          <w:lang w:val="nl-NL"/>
        </w:rPr>
        <w:t>, tránh trường hợp Đoàn kiểm tra của Sở Giáo dục hỏi lại không nắm được.</w:t>
      </w:r>
    </w:p>
    <w:sectPr w:rsidR="00003BD0" w:rsidRPr="00003BD0" w:rsidSect="006C0869">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72D"/>
    <w:multiLevelType w:val="multilevel"/>
    <w:tmpl w:val="934A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766B5"/>
    <w:multiLevelType w:val="hybridMultilevel"/>
    <w:tmpl w:val="D8387858"/>
    <w:lvl w:ilvl="0" w:tplc="8B56EC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6B2D48"/>
    <w:multiLevelType w:val="multilevel"/>
    <w:tmpl w:val="9D90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786DA1"/>
    <w:multiLevelType w:val="multilevel"/>
    <w:tmpl w:val="2584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C937FF"/>
    <w:multiLevelType w:val="multilevel"/>
    <w:tmpl w:val="E93C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7042115">
    <w:abstractNumId w:val="0"/>
  </w:num>
  <w:num w:numId="2" w16cid:durableId="1867131739">
    <w:abstractNumId w:val="2"/>
  </w:num>
  <w:num w:numId="3" w16cid:durableId="1977297118">
    <w:abstractNumId w:val="4"/>
  </w:num>
  <w:num w:numId="4" w16cid:durableId="379860041">
    <w:abstractNumId w:val="3"/>
  </w:num>
  <w:num w:numId="5" w16cid:durableId="1061756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AB3"/>
    <w:rsid w:val="00003BD0"/>
    <w:rsid w:val="000F22DD"/>
    <w:rsid w:val="002C7303"/>
    <w:rsid w:val="005F0FA9"/>
    <w:rsid w:val="006822D5"/>
    <w:rsid w:val="006C0869"/>
    <w:rsid w:val="00764AAD"/>
    <w:rsid w:val="00843AE6"/>
    <w:rsid w:val="00AA3A0F"/>
    <w:rsid w:val="00FB10E3"/>
    <w:rsid w:val="00FB1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DEF69"/>
  <w15:chartTrackingRefBased/>
  <w15:docId w15:val="{F56A3837-2535-410F-AEC3-F01768401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1A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A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AB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B1AB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B1AB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B1AB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B1AB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B1AB3"/>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B1AB3"/>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A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A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AB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B1AB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B1AB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B1AB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B1AB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B1AB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B1AB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B1AB3"/>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A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AB3"/>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B1AB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B1A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1AB3"/>
    <w:rPr>
      <w:i/>
      <w:iCs/>
      <w:color w:val="404040" w:themeColor="text1" w:themeTint="BF"/>
    </w:rPr>
  </w:style>
  <w:style w:type="paragraph" w:styleId="ListParagraph">
    <w:name w:val="List Paragraph"/>
    <w:basedOn w:val="Normal"/>
    <w:uiPriority w:val="34"/>
    <w:qFormat/>
    <w:rsid w:val="00FB1AB3"/>
    <w:pPr>
      <w:ind w:left="720"/>
      <w:contextualSpacing/>
    </w:pPr>
  </w:style>
  <w:style w:type="character" w:styleId="IntenseEmphasis">
    <w:name w:val="Intense Emphasis"/>
    <w:basedOn w:val="DefaultParagraphFont"/>
    <w:uiPriority w:val="21"/>
    <w:qFormat/>
    <w:rsid w:val="00FB1AB3"/>
    <w:rPr>
      <w:i/>
      <w:iCs/>
      <w:color w:val="0F4761" w:themeColor="accent1" w:themeShade="BF"/>
    </w:rPr>
  </w:style>
  <w:style w:type="paragraph" w:styleId="IntenseQuote">
    <w:name w:val="Intense Quote"/>
    <w:basedOn w:val="Normal"/>
    <w:next w:val="Normal"/>
    <w:link w:val="IntenseQuoteChar"/>
    <w:uiPriority w:val="30"/>
    <w:qFormat/>
    <w:rsid w:val="00FB1A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AB3"/>
    <w:rPr>
      <w:i/>
      <w:iCs/>
      <w:color w:val="0F4761" w:themeColor="accent1" w:themeShade="BF"/>
    </w:rPr>
  </w:style>
  <w:style w:type="character" w:styleId="IntenseReference">
    <w:name w:val="Intense Reference"/>
    <w:basedOn w:val="DefaultParagraphFont"/>
    <w:uiPriority w:val="32"/>
    <w:qFormat/>
    <w:rsid w:val="00FB1AB3"/>
    <w:rPr>
      <w:b/>
      <w:bCs/>
      <w:smallCaps/>
      <w:color w:val="0F4761" w:themeColor="accent1" w:themeShade="BF"/>
      <w:spacing w:val="5"/>
    </w:rPr>
  </w:style>
  <w:style w:type="character" w:styleId="Hyperlink">
    <w:name w:val="Hyperlink"/>
    <w:basedOn w:val="DefaultParagraphFont"/>
    <w:uiPriority w:val="99"/>
    <w:unhideWhenUsed/>
    <w:rsid w:val="00003BD0"/>
    <w:rPr>
      <w:color w:val="467886" w:themeColor="hyperlink"/>
      <w:u w:val="single"/>
    </w:rPr>
  </w:style>
  <w:style w:type="character" w:styleId="UnresolvedMention">
    <w:name w:val="Unresolved Mention"/>
    <w:basedOn w:val="DefaultParagraphFont"/>
    <w:uiPriority w:val="99"/>
    <w:semiHidden/>
    <w:unhideWhenUsed/>
    <w:rsid w:val="00003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55114">
      <w:bodyDiv w:val="1"/>
      <w:marLeft w:val="0"/>
      <w:marRight w:val="0"/>
      <w:marTop w:val="0"/>
      <w:marBottom w:val="0"/>
      <w:divBdr>
        <w:top w:val="none" w:sz="0" w:space="0" w:color="auto"/>
        <w:left w:val="none" w:sz="0" w:space="0" w:color="auto"/>
        <w:bottom w:val="none" w:sz="0" w:space="0" w:color="auto"/>
        <w:right w:val="none" w:sz="0" w:space="0" w:color="auto"/>
      </w:divBdr>
      <w:divsChild>
        <w:div w:id="341054805">
          <w:marLeft w:val="0"/>
          <w:marRight w:val="0"/>
          <w:marTop w:val="0"/>
          <w:marBottom w:val="0"/>
          <w:divBdr>
            <w:top w:val="none" w:sz="0" w:space="0" w:color="auto"/>
            <w:left w:val="none" w:sz="0" w:space="0" w:color="auto"/>
            <w:bottom w:val="none" w:sz="0" w:space="0" w:color="auto"/>
            <w:right w:val="none" w:sz="0" w:space="0" w:color="auto"/>
          </w:divBdr>
          <w:divsChild>
            <w:div w:id="2004159135">
              <w:marLeft w:val="0"/>
              <w:marRight w:val="240"/>
              <w:marTop w:val="0"/>
              <w:marBottom w:val="0"/>
              <w:divBdr>
                <w:top w:val="none" w:sz="0" w:space="0" w:color="auto"/>
                <w:left w:val="none" w:sz="0" w:space="0" w:color="auto"/>
                <w:bottom w:val="none" w:sz="0" w:space="0" w:color="auto"/>
                <w:right w:val="none" w:sz="0" w:space="0" w:color="auto"/>
              </w:divBdr>
              <w:divsChild>
                <w:div w:id="718630349">
                  <w:marLeft w:val="0"/>
                  <w:marRight w:val="0"/>
                  <w:marTop w:val="0"/>
                  <w:marBottom w:val="0"/>
                  <w:divBdr>
                    <w:top w:val="none" w:sz="0" w:space="0" w:color="auto"/>
                    <w:left w:val="none" w:sz="0" w:space="0" w:color="auto"/>
                    <w:bottom w:val="none" w:sz="0" w:space="0" w:color="auto"/>
                    <w:right w:val="none" w:sz="0" w:space="0" w:color="auto"/>
                  </w:divBdr>
                  <w:divsChild>
                    <w:div w:id="209624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501884">
              <w:marLeft w:val="0"/>
              <w:marRight w:val="0"/>
              <w:marTop w:val="0"/>
              <w:marBottom w:val="0"/>
              <w:divBdr>
                <w:top w:val="none" w:sz="0" w:space="0" w:color="auto"/>
                <w:left w:val="none" w:sz="0" w:space="0" w:color="auto"/>
                <w:bottom w:val="none" w:sz="0" w:space="0" w:color="auto"/>
                <w:right w:val="none" w:sz="0" w:space="0" w:color="auto"/>
              </w:divBdr>
              <w:divsChild>
                <w:div w:id="131406813">
                  <w:marLeft w:val="0"/>
                  <w:marRight w:val="0"/>
                  <w:marTop w:val="0"/>
                  <w:marBottom w:val="0"/>
                  <w:divBdr>
                    <w:top w:val="none" w:sz="0" w:space="0" w:color="auto"/>
                    <w:left w:val="none" w:sz="0" w:space="0" w:color="auto"/>
                    <w:bottom w:val="none" w:sz="0" w:space="0" w:color="auto"/>
                    <w:right w:val="none" w:sz="0" w:space="0" w:color="auto"/>
                  </w:divBdr>
                  <w:divsChild>
                    <w:div w:id="19917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348766">
          <w:marLeft w:val="0"/>
          <w:marRight w:val="0"/>
          <w:marTop w:val="0"/>
          <w:marBottom w:val="240"/>
          <w:divBdr>
            <w:top w:val="none" w:sz="0" w:space="0" w:color="auto"/>
            <w:left w:val="none" w:sz="0" w:space="0" w:color="auto"/>
            <w:bottom w:val="none" w:sz="0" w:space="0" w:color="auto"/>
            <w:right w:val="none" w:sz="0" w:space="0" w:color="auto"/>
          </w:divBdr>
          <w:divsChild>
            <w:div w:id="1661736244">
              <w:marLeft w:val="0"/>
              <w:marRight w:val="0"/>
              <w:marTop w:val="0"/>
              <w:marBottom w:val="0"/>
              <w:divBdr>
                <w:top w:val="none" w:sz="0" w:space="0" w:color="auto"/>
                <w:left w:val="none" w:sz="0" w:space="0" w:color="auto"/>
                <w:bottom w:val="none" w:sz="0" w:space="0" w:color="auto"/>
                <w:right w:val="none" w:sz="0" w:space="0" w:color="auto"/>
              </w:divBdr>
            </w:div>
            <w:div w:id="226913685">
              <w:marLeft w:val="0"/>
              <w:marRight w:val="0"/>
              <w:marTop w:val="0"/>
              <w:marBottom w:val="0"/>
              <w:divBdr>
                <w:top w:val="none" w:sz="0" w:space="0" w:color="auto"/>
                <w:left w:val="none" w:sz="0" w:space="0" w:color="auto"/>
                <w:bottom w:val="none" w:sz="0" w:space="0" w:color="auto"/>
                <w:right w:val="none" w:sz="0" w:space="0" w:color="auto"/>
              </w:divBdr>
              <w:divsChild>
                <w:div w:id="67193806">
                  <w:blockQuote w:val="1"/>
                  <w:marLeft w:val="420"/>
                  <w:marRight w:val="0"/>
                  <w:marTop w:val="0"/>
                  <w:marBottom w:val="0"/>
                  <w:divBdr>
                    <w:top w:val="none" w:sz="0" w:space="0" w:color="auto"/>
                    <w:left w:val="single" w:sz="18" w:space="12" w:color="CCCCCC"/>
                    <w:bottom w:val="none" w:sz="0" w:space="0" w:color="auto"/>
                    <w:right w:val="none" w:sz="0" w:space="0" w:color="auto"/>
                  </w:divBdr>
                </w:div>
                <w:div w:id="408504213">
                  <w:marLeft w:val="0"/>
                  <w:marRight w:val="0"/>
                  <w:marTop w:val="0"/>
                  <w:marBottom w:val="0"/>
                  <w:divBdr>
                    <w:top w:val="none" w:sz="0" w:space="0" w:color="auto"/>
                    <w:left w:val="none" w:sz="0" w:space="0" w:color="auto"/>
                    <w:bottom w:val="none" w:sz="0" w:space="0" w:color="auto"/>
                    <w:right w:val="none" w:sz="0" w:space="0" w:color="auto"/>
                  </w:divBdr>
                  <w:divsChild>
                    <w:div w:id="989097278">
                      <w:marLeft w:val="0"/>
                      <w:marRight w:val="0"/>
                      <w:marTop w:val="0"/>
                      <w:marBottom w:val="0"/>
                      <w:divBdr>
                        <w:top w:val="none" w:sz="0" w:space="0" w:color="auto"/>
                        <w:left w:val="none" w:sz="0" w:space="0" w:color="auto"/>
                        <w:bottom w:val="none" w:sz="0" w:space="0" w:color="auto"/>
                        <w:right w:val="none" w:sz="0" w:space="0" w:color="auto"/>
                      </w:divBdr>
                    </w:div>
                  </w:divsChild>
                </w:div>
                <w:div w:id="1064452539">
                  <w:blockQuote w:val="1"/>
                  <w:marLeft w:val="420"/>
                  <w:marRight w:val="0"/>
                  <w:marTop w:val="0"/>
                  <w:marBottom w:val="0"/>
                  <w:divBdr>
                    <w:top w:val="none" w:sz="0" w:space="0" w:color="auto"/>
                    <w:left w:val="single" w:sz="18" w:space="12" w:color="CCCCCC"/>
                    <w:bottom w:val="none" w:sz="0" w:space="0" w:color="auto"/>
                    <w:right w:val="none" w:sz="0" w:space="0" w:color="auto"/>
                  </w:divBdr>
                </w:div>
              </w:divsChild>
            </w:div>
          </w:divsChild>
        </w:div>
      </w:divsChild>
    </w:div>
    <w:div w:id="1481843431">
      <w:bodyDiv w:val="1"/>
      <w:marLeft w:val="0"/>
      <w:marRight w:val="0"/>
      <w:marTop w:val="0"/>
      <w:marBottom w:val="0"/>
      <w:divBdr>
        <w:top w:val="none" w:sz="0" w:space="0" w:color="auto"/>
        <w:left w:val="none" w:sz="0" w:space="0" w:color="auto"/>
        <w:bottom w:val="none" w:sz="0" w:space="0" w:color="auto"/>
        <w:right w:val="none" w:sz="0" w:space="0" w:color="auto"/>
      </w:divBdr>
      <w:divsChild>
        <w:div w:id="961572285">
          <w:marLeft w:val="0"/>
          <w:marRight w:val="0"/>
          <w:marTop w:val="0"/>
          <w:marBottom w:val="0"/>
          <w:divBdr>
            <w:top w:val="none" w:sz="0" w:space="0" w:color="auto"/>
            <w:left w:val="none" w:sz="0" w:space="0" w:color="auto"/>
            <w:bottom w:val="none" w:sz="0" w:space="0" w:color="auto"/>
            <w:right w:val="none" w:sz="0" w:space="0" w:color="auto"/>
          </w:divBdr>
          <w:divsChild>
            <w:div w:id="736586820">
              <w:marLeft w:val="0"/>
              <w:marRight w:val="240"/>
              <w:marTop w:val="0"/>
              <w:marBottom w:val="0"/>
              <w:divBdr>
                <w:top w:val="none" w:sz="0" w:space="0" w:color="auto"/>
                <w:left w:val="none" w:sz="0" w:space="0" w:color="auto"/>
                <w:bottom w:val="none" w:sz="0" w:space="0" w:color="auto"/>
                <w:right w:val="none" w:sz="0" w:space="0" w:color="auto"/>
              </w:divBdr>
              <w:divsChild>
                <w:div w:id="2019960616">
                  <w:marLeft w:val="0"/>
                  <w:marRight w:val="0"/>
                  <w:marTop w:val="0"/>
                  <w:marBottom w:val="0"/>
                  <w:divBdr>
                    <w:top w:val="none" w:sz="0" w:space="0" w:color="auto"/>
                    <w:left w:val="none" w:sz="0" w:space="0" w:color="auto"/>
                    <w:bottom w:val="none" w:sz="0" w:space="0" w:color="auto"/>
                    <w:right w:val="none" w:sz="0" w:space="0" w:color="auto"/>
                  </w:divBdr>
                  <w:divsChild>
                    <w:div w:id="15470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4456">
              <w:marLeft w:val="0"/>
              <w:marRight w:val="0"/>
              <w:marTop w:val="0"/>
              <w:marBottom w:val="0"/>
              <w:divBdr>
                <w:top w:val="none" w:sz="0" w:space="0" w:color="auto"/>
                <w:left w:val="none" w:sz="0" w:space="0" w:color="auto"/>
                <w:bottom w:val="none" w:sz="0" w:space="0" w:color="auto"/>
                <w:right w:val="none" w:sz="0" w:space="0" w:color="auto"/>
              </w:divBdr>
              <w:divsChild>
                <w:div w:id="156117113">
                  <w:marLeft w:val="0"/>
                  <w:marRight w:val="0"/>
                  <w:marTop w:val="0"/>
                  <w:marBottom w:val="0"/>
                  <w:divBdr>
                    <w:top w:val="none" w:sz="0" w:space="0" w:color="auto"/>
                    <w:left w:val="none" w:sz="0" w:space="0" w:color="auto"/>
                    <w:bottom w:val="none" w:sz="0" w:space="0" w:color="auto"/>
                    <w:right w:val="none" w:sz="0" w:space="0" w:color="auto"/>
                  </w:divBdr>
                  <w:divsChild>
                    <w:div w:id="15461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953423">
          <w:marLeft w:val="0"/>
          <w:marRight w:val="0"/>
          <w:marTop w:val="0"/>
          <w:marBottom w:val="240"/>
          <w:divBdr>
            <w:top w:val="none" w:sz="0" w:space="0" w:color="auto"/>
            <w:left w:val="none" w:sz="0" w:space="0" w:color="auto"/>
            <w:bottom w:val="none" w:sz="0" w:space="0" w:color="auto"/>
            <w:right w:val="none" w:sz="0" w:space="0" w:color="auto"/>
          </w:divBdr>
          <w:divsChild>
            <w:div w:id="473572235">
              <w:marLeft w:val="0"/>
              <w:marRight w:val="0"/>
              <w:marTop w:val="0"/>
              <w:marBottom w:val="0"/>
              <w:divBdr>
                <w:top w:val="none" w:sz="0" w:space="0" w:color="auto"/>
                <w:left w:val="none" w:sz="0" w:space="0" w:color="auto"/>
                <w:bottom w:val="none" w:sz="0" w:space="0" w:color="auto"/>
                <w:right w:val="none" w:sz="0" w:space="0" w:color="auto"/>
              </w:divBdr>
            </w:div>
            <w:div w:id="144785827">
              <w:marLeft w:val="0"/>
              <w:marRight w:val="0"/>
              <w:marTop w:val="0"/>
              <w:marBottom w:val="0"/>
              <w:divBdr>
                <w:top w:val="none" w:sz="0" w:space="0" w:color="auto"/>
                <w:left w:val="none" w:sz="0" w:space="0" w:color="auto"/>
                <w:bottom w:val="none" w:sz="0" w:space="0" w:color="auto"/>
                <w:right w:val="none" w:sz="0" w:space="0" w:color="auto"/>
              </w:divBdr>
              <w:divsChild>
                <w:div w:id="326638748">
                  <w:blockQuote w:val="1"/>
                  <w:marLeft w:val="420"/>
                  <w:marRight w:val="0"/>
                  <w:marTop w:val="0"/>
                  <w:marBottom w:val="0"/>
                  <w:divBdr>
                    <w:top w:val="none" w:sz="0" w:space="0" w:color="auto"/>
                    <w:left w:val="single" w:sz="18" w:space="12" w:color="CCCCCC"/>
                    <w:bottom w:val="none" w:sz="0" w:space="0" w:color="auto"/>
                    <w:right w:val="none" w:sz="0" w:space="0" w:color="auto"/>
                  </w:divBdr>
                </w:div>
                <w:div w:id="548804579">
                  <w:marLeft w:val="0"/>
                  <w:marRight w:val="0"/>
                  <w:marTop w:val="0"/>
                  <w:marBottom w:val="0"/>
                  <w:divBdr>
                    <w:top w:val="none" w:sz="0" w:space="0" w:color="auto"/>
                    <w:left w:val="none" w:sz="0" w:space="0" w:color="auto"/>
                    <w:bottom w:val="none" w:sz="0" w:space="0" w:color="auto"/>
                    <w:right w:val="none" w:sz="0" w:space="0" w:color="auto"/>
                  </w:divBdr>
                  <w:divsChild>
                    <w:div w:id="734547494">
                      <w:marLeft w:val="0"/>
                      <w:marRight w:val="0"/>
                      <w:marTop w:val="0"/>
                      <w:marBottom w:val="0"/>
                      <w:divBdr>
                        <w:top w:val="none" w:sz="0" w:space="0" w:color="auto"/>
                        <w:left w:val="none" w:sz="0" w:space="0" w:color="auto"/>
                        <w:bottom w:val="none" w:sz="0" w:space="0" w:color="auto"/>
                        <w:right w:val="none" w:sz="0" w:space="0" w:color="auto"/>
                      </w:divBdr>
                    </w:div>
                  </w:divsChild>
                </w:div>
                <w:div w:id="1918439128">
                  <w:blockQuote w:val="1"/>
                  <w:marLeft w:val="420"/>
                  <w:marRight w:val="0"/>
                  <w:marTop w:val="0"/>
                  <w:marBottom w:val="0"/>
                  <w:divBdr>
                    <w:top w:val="none" w:sz="0" w:space="0" w:color="auto"/>
                    <w:left w:val="single" w:sz="18" w:space="12" w:color="CCCCCC"/>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uatvietnam.vn/giao-duc/thong-tu-31-2023-tt-bgddt-quy-che-xet-cong-nhan-tot-nghiep-trung-hoc-co-so-289614-d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Kien Bui Ngoc</dc:creator>
  <cp:keywords/>
  <dc:description/>
  <cp:lastModifiedBy>Kien Bui Ngoc</cp:lastModifiedBy>
  <cp:revision>3</cp:revision>
  <dcterms:created xsi:type="dcterms:W3CDTF">2025-05-09T08:40:00Z</dcterms:created>
  <dcterms:modified xsi:type="dcterms:W3CDTF">2025-05-09T09:24:00Z</dcterms:modified>
</cp:coreProperties>
</file>